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A273A1">
        <w:rPr>
          <w:b/>
          <w:sz w:val="28"/>
          <w:szCs w:val="28"/>
          <w:u w:val="single"/>
        </w:rPr>
        <w:t>0</w:t>
      </w:r>
      <w:r w:rsidR="009E1F03">
        <w:rPr>
          <w:b/>
          <w:sz w:val="28"/>
          <w:szCs w:val="28"/>
          <w:u w:val="single"/>
        </w:rPr>
        <w:t>9</w:t>
      </w:r>
    </w:p>
    <w:p w:rsidR="009E1F03" w:rsidRDefault="009E1F03" w:rsidP="00A33D0B">
      <w:pPr>
        <w:rPr>
          <w:b/>
          <w:sz w:val="28"/>
          <w:szCs w:val="28"/>
          <w:u w:val="single"/>
        </w:rPr>
      </w:pPr>
    </w:p>
    <w:p w:rsidR="009E1F03" w:rsidRPr="009E1F03" w:rsidRDefault="009E1F03" w:rsidP="009E1F03">
      <w:pPr>
        <w:ind w:right="3402"/>
        <w:jc w:val="both"/>
        <w:rPr>
          <w:b/>
          <w:sz w:val="28"/>
          <w:szCs w:val="28"/>
        </w:rPr>
      </w:pPr>
      <w:r w:rsidRPr="009E1F03">
        <w:rPr>
          <w:b/>
          <w:sz w:val="28"/>
          <w:szCs w:val="28"/>
        </w:rPr>
        <w:t>О согласовании установки ограждающих устройств на придомовых территориях многоквартирных домов по адресу: город Москва, Луганская улица, дом 4, корп. 1 и Луганская улица, дом 8, Солнечная улица, дом 6</w:t>
      </w:r>
    </w:p>
    <w:p w:rsidR="009E1F03" w:rsidRPr="009E1F03" w:rsidRDefault="009E1F03" w:rsidP="009E1F03">
      <w:pPr>
        <w:ind w:firstLine="708"/>
        <w:jc w:val="both"/>
        <w:rPr>
          <w:rFonts w:eastAsia="Calibri"/>
          <w:sz w:val="28"/>
          <w:szCs w:val="28"/>
        </w:rPr>
      </w:pPr>
    </w:p>
    <w:p w:rsidR="009E1F03" w:rsidRPr="009E1F03" w:rsidRDefault="009E1F03" w:rsidP="009E1F03">
      <w:pPr>
        <w:ind w:firstLine="708"/>
        <w:jc w:val="both"/>
        <w:rPr>
          <w:rFonts w:eastAsia="Calibri"/>
          <w:sz w:val="28"/>
          <w:szCs w:val="28"/>
        </w:rPr>
      </w:pPr>
      <w:r w:rsidRPr="009E1F03">
        <w:rPr>
          <w:rFonts w:eastAsia="Calibri"/>
          <w:sz w:val="28"/>
          <w:szCs w:val="28"/>
        </w:rPr>
        <w:t>В соответствии с Законом города Москвы от 11 июля 2012 года № 39 «О наделении органов местного самоуправл</w:t>
      </w:r>
      <w:bookmarkStart w:id="0" w:name="_GoBack"/>
      <w:bookmarkEnd w:id="0"/>
      <w:r w:rsidRPr="009E1F03">
        <w:rPr>
          <w:rFonts w:eastAsia="Calibri"/>
          <w:sz w:val="28"/>
          <w:szCs w:val="28"/>
        </w:rPr>
        <w:t>ения муниципальных округов в городе Москве отдельными полномочиями города Москвы» и постановлением Правительства Москвы от 02 июля 2013 года № 428-ПП «О порядке установки ограждений на придомовых территориях в городе Москве» (с изменениями и дополнениями), рассмотрев решения общего собрания собственников помещений в многоквартирных домах об установке ограждающих устройств на придомовой территории по адресу: Луганская улица, дом 4, корп. 1 и Луганская улица, дом 8</w:t>
      </w:r>
    </w:p>
    <w:p w:rsidR="009E1F03" w:rsidRPr="009E1F03" w:rsidRDefault="009E1F03" w:rsidP="009E1F03">
      <w:pPr>
        <w:ind w:firstLine="708"/>
        <w:jc w:val="both"/>
        <w:rPr>
          <w:rFonts w:eastAsia="Calibri"/>
          <w:b/>
          <w:sz w:val="28"/>
          <w:szCs w:val="28"/>
        </w:rPr>
      </w:pPr>
      <w:r w:rsidRPr="009E1F03">
        <w:rPr>
          <w:rFonts w:eastAsia="Calibri"/>
          <w:b/>
          <w:sz w:val="28"/>
          <w:szCs w:val="28"/>
        </w:rPr>
        <w:t xml:space="preserve">Совет депутатов муниципального округа Царицыно решил: </w:t>
      </w:r>
    </w:p>
    <w:p w:rsidR="009E1F03" w:rsidRPr="009E1F03" w:rsidRDefault="009E1F03" w:rsidP="009E1F03">
      <w:pPr>
        <w:ind w:firstLine="708"/>
        <w:jc w:val="both"/>
        <w:rPr>
          <w:rFonts w:eastAsia="Calibri"/>
          <w:sz w:val="28"/>
          <w:szCs w:val="28"/>
        </w:rPr>
      </w:pPr>
      <w:r w:rsidRPr="009E1F03">
        <w:rPr>
          <w:rFonts w:eastAsia="Calibri"/>
          <w:sz w:val="28"/>
          <w:szCs w:val="28"/>
        </w:rPr>
        <w:t xml:space="preserve">1. Согласовать установку ограждающих устройств на придомовых территориях многоквартирных домов по адресу: город Москва, Луганская улица, дом 4, корп. 1 и Луганская улица, дом 8, Солнечная улица, дом 6 - в количестве 4-х штук (автоматические шлагбаумы), согласно Проекта размещения, предоставленного лицом, уполномоченным на представление интересов собственников помещений в многоквартирных домах (приложение), при условии соблюдения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а также при отсутствии создания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w:t>
      </w:r>
    </w:p>
    <w:p w:rsidR="009E1F03" w:rsidRPr="009E1F03" w:rsidRDefault="009E1F03" w:rsidP="009E1F03">
      <w:pPr>
        <w:ind w:firstLine="708"/>
        <w:jc w:val="both"/>
        <w:rPr>
          <w:rFonts w:eastAsia="Calibri"/>
          <w:sz w:val="28"/>
          <w:szCs w:val="28"/>
        </w:rPr>
      </w:pPr>
      <w:r w:rsidRPr="009E1F03">
        <w:rPr>
          <w:rFonts w:eastAsia="Calibri"/>
          <w:sz w:val="28"/>
          <w:szCs w:val="28"/>
        </w:rPr>
        <w:t xml:space="preserve">2. Уведомить уполномоченное лицо общего собрания собственников помещений в многоквартирных домах о том, что все споры, возникающие между собственниками помещений многоквартирных домов, иными заинтересованными лицами по вопросам установки, эксплуатации и демонтажа ограждающих устройств по адресу: город Москва, Луганская улица, дом 4, корп. 1 и Луганская улица, дом 8, Солнечная улица, дом 6 - решаются в соответствии с законодательством Российской Федерации, в том числе в судебном порядке. </w:t>
      </w:r>
    </w:p>
    <w:p w:rsidR="009E1F03" w:rsidRPr="009E1F03" w:rsidRDefault="009E1F03" w:rsidP="009E1F03">
      <w:pPr>
        <w:ind w:firstLine="708"/>
        <w:jc w:val="both"/>
        <w:rPr>
          <w:rFonts w:eastAsia="Calibri"/>
          <w:sz w:val="28"/>
          <w:szCs w:val="28"/>
        </w:rPr>
      </w:pPr>
      <w:r w:rsidRPr="009E1F03">
        <w:rPr>
          <w:rFonts w:eastAsia="Calibri"/>
          <w:sz w:val="28"/>
          <w:szCs w:val="28"/>
        </w:rPr>
        <w:lastRenderedPageBreak/>
        <w:t xml:space="preserve">3. Направить копию настоящего решения в управу района Царицыно города Москвы, Департамент территориальных органов исполнительной власти города Москвы и лицу, уполномоченному на представление интересов собственников помещений в многоквартирных домах по вопросам, связанным с установкой ограждающих устройств и их демонтажем. </w:t>
      </w:r>
    </w:p>
    <w:p w:rsidR="009E1F03" w:rsidRPr="009E1F03" w:rsidRDefault="009E1F03" w:rsidP="009E1F03">
      <w:pPr>
        <w:adjustRightInd w:val="0"/>
        <w:spacing w:line="276" w:lineRule="auto"/>
        <w:ind w:firstLine="708"/>
        <w:jc w:val="both"/>
        <w:rPr>
          <w:rFonts w:eastAsia="Calibri"/>
          <w:sz w:val="28"/>
          <w:szCs w:val="28"/>
        </w:rPr>
      </w:pPr>
      <w:r w:rsidRPr="009E1F03">
        <w:rPr>
          <w:rFonts w:eastAsia="Calibri"/>
          <w:sz w:val="28"/>
          <w:szCs w:val="28"/>
        </w:rPr>
        <w:t xml:space="preserve">4.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t>
      </w:r>
      <w:hyperlink r:id="rId8" w:history="1">
        <w:r w:rsidRPr="009E1F03">
          <w:rPr>
            <w:rFonts w:eastAsia="Calibri"/>
            <w:color w:val="0000FF"/>
            <w:sz w:val="28"/>
            <w:szCs w:val="28"/>
            <w:u w:val="single"/>
          </w:rPr>
          <w:t>www.mcaricino.ru</w:t>
        </w:r>
      </w:hyperlink>
      <w:r w:rsidRPr="009E1F03">
        <w:rPr>
          <w:rFonts w:eastAsia="Calibri"/>
          <w:sz w:val="28"/>
          <w:szCs w:val="28"/>
        </w:rPr>
        <w:t>.</w:t>
      </w:r>
    </w:p>
    <w:p w:rsidR="009E1F03" w:rsidRPr="009E1F03" w:rsidRDefault="009E1F03" w:rsidP="009E1F03">
      <w:pPr>
        <w:adjustRightInd w:val="0"/>
        <w:spacing w:line="276" w:lineRule="auto"/>
        <w:ind w:firstLine="708"/>
        <w:jc w:val="both"/>
        <w:rPr>
          <w:rFonts w:eastAsia="Calibri"/>
          <w:sz w:val="28"/>
          <w:szCs w:val="28"/>
        </w:rPr>
      </w:pPr>
      <w:r w:rsidRPr="009E1F03">
        <w:rPr>
          <w:rFonts w:eastAsia="Calibri"/>
          <w:sz w:val="28"/>
          <w:szCs w:val="28"/>
        </w:rPr>
        <w:t>5. Контроль за выполнением настоящего решения возложить на главу муниципального округа Царицыно Хлестова Дмитрия Владимировича.</w:t>
      </w:r>
    </w:p>
    <w:p w:rsidR="009E1F03" w:rsidRPr="009E1F03" w:rsidRDefault="009E1F03" w:rsidP="009E1F03">
      <w:pPr>
        <w:jc w:val="both"/>
        <w:rPr>
          <w:rFonts w:eastAsia="Calibri"/>
          <w:b/>
          <w:sz w:val="28"/>
          <w:szCs w:val="28"/>
        </w:rPr>
      </w:pPr>
    </w:p>
    <w:p w:rsidR="009E1F03" w:rsidRPr="009E1F03" w:rsidRDefault="009E1F03" w:rsidP="009E1F03">
      <w:pPr>
        <w:jc w:val="both"/>
        <w:rPr>
          <w:rFonts w:eastAsia="Calibri"/>
          <w:b/>
          <w:sz w:val="28"/>
          <w:szCs w:val="28"/>
        </w:rPr>
      </w:pPr>
    </w:p>
    <w:p w:rsidR="009E1F03" w:rsidRPr="009E1F03" w:rsidRDefault="009E1F03" w:rsidP="009E1F03">
      <w:pPr>
        <w:jc w:val="both"/>
        <w:rPr>
          <w:rFonts w:eastAsia="Calibri"/>
          <w:b/>
          <w:sz w:val="28"/>
          <w:szCs w:val="28"/>
        </w:rPr>
      </w:pPr>
      <w:r w:rsidRPr="009E1F03">
        <w:rPr>
          <w:rFonts w:eastAsia="Calibri"/>
          <w:b/>
          <w:sz w:val="28"/>
          <w:szCs w:val="28"/>
        </w:rPr>
        <w:t>Глава муниципального округа Царицыно                                        Д.В. Хлестов</w:t>
      </w:r>
    </w:p>
    <w:p w:rsidR="009E1F03" w:rsidRPr="009E1F03" w:rsidRDefault="009E1F03" w:rsidP="009E1F03">
      <w:pPr>
        <w:jc w:val="both"/>
        <w:rPr>
          <w:rFonts w:eastAsia="Calibri"/>
          <w:b/>
          <w:sz w:val="28"/>
          <w:szCs w:val="28"/>
        </w:rPr>
      </w:pPr>
    </w:p>
    <w:p w:rsidR="009E1F03" w:rsidRPr="009E1F03" w:rsidRDefault="009E1F03" w:rsidP="009E1F03">
      <w:pPr>
        <w:jc w:val="both"/>
        <w:rPr>
          <w:rFonts w:eastAsia="Calibri"/>
          <w:sz w:val="28"/>
          <w:szCs w:val="28"/>
        </w:rPr>
      </w:pPr>
      <w:r w:rsidRPr="009E1F03">
        <w:rPr>
          <w:rFonts w:eastAsia="Calibri"/>
          <w:sz w:val="28"/>
          <w:szCs w:val="28"/>
        </w:rPr>
        <w:t xml:space="preserve"> </w:t>
      </w: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jc w:val="both"/>
        <w:rPr>
          <w:rFonts w:eastAsia="Calibri"/>
          <w:sz w:val="28"/>
          <w:szCs w:val="28"/>
        </w:rPr>
      </w:pPr>
    </w:p>
    <w:p w:rsidR="009E1F03" w:rsidRPr="009E1F03" w:rsidRDefault="009E1F03" w:rsidP="009E1F03">
      <w:pPr>
        <w:snapToGrid w:val="0"/>
        <w:ind w:left="5580" w:hanging="335"/>
      </w:pPr>
      <w:r w:rsidRPr="009E1F03">
        <w:t>Приложение</w:t>
      </w:r>
    </w:p>
    <w:p w:rsidR="009E1F03" w:rsidRPr="009E1F03" w:rsidRDefault="009E1F03" w:rsidP="009E1F03">
      <w:pPr>
        <w:snapToGrid w:val="0"/>
        <w:ind w:left="5580" w:hanging="335"/>
        <w:jc w:val="both"/>
      </w:pPr>
      <w:r w:rsidRPr="009E1F03">
        <w:t>к решению Совета депутатов</w:t>
      </w:r>
    </w:p>
    <w:p w:rsidR="009E1F03" w:rsidRPr="009E1F03" w:rsidRDefault="009E1F03" w:rsidP="009E1F03">
      <w:pPr>
        <w:snapToGrid w:val="0"/>
        <w:ind w:left="5580" w:hanging="335"/>
        <w:jc w:val="both"/>
      </w:pPr>
      <w:r w:rsidRPr="009E1F03">
        <w:t>муниципального округа Царицыно</w:t>
      </w:r>
    </w:p>
    <w:p w:rsidR="009E1F03" w:rsidRPr="009E1F03" w:rsidRDefault="009E1F03" w:rsidP="009E1F03">
      <w:pPr>
        <w:shd w:val="clear" w:color="auto" w:fill="FFFFFF"/>
        <w:ind w:left="5580" w:hanging="335"/>
        <w:jc w:val="both"/>
        <w:rPr>
          <w:bCs/>
          <w:color w:val="000000"/>
          <w:spacing w:val="-6"/>
        </w:rPr>
      </w:pPr>
      <w:r w:rsidRPr="009E1F03">
        <w:rPr>
          <w:bCs/>
          <w:color w:val="000000"/>
          <w:spacing w:val="-6"/>
        </w:rPr>
        <w:t>от 19 февраля 2020 года № ЦА-01-05-02/09</w:t>
      </w:r>
    </w:p>
    <w:p w:rsidR="009E1F03" w:rsidRPr="009E1F03" w:rsidRDefault="009E1F03" w:rsidP="009E1F03">
      <w:pPr>
        <w:ind w:firstLine="708"/>
        <w:jc w:val="both"/>
        <w:rPr>
          <w:rFonts w:eastAsia="Calibri"/>
          <w:sz w:val="28"/>
          <w:szCs w:val="28"/>
        </w:rPr>
      </w:pPr>
    </w:p>
    <w:p w:rsidR="009E1F03" w:rsidRPr="009E1F03" w:rsidRDefault="009E1F03" w:rsidP="009E1F03">
      <w:pPr>
        <w:suppressAutoHyphens/>
        <w:jc w:val="center"/>
        <w:rPr>
          <w:rFonts w:eastAsia="Arial Unicode MS" w:cs="Arial Unicode MS"/>
          <w:b/>
          <w:color w:val="000000"/>
          <w:sz w:val="28"/>
          <w:szCs w:val="28"/>
          <w:lang w:eastAsia="zh-CN"/>
        </w:rPr>
      </w:pPr>
      <w:r w:rsidRPr="009E1F03">
        <w:rPr>
          <w:rFonts w:eastAsia="Arial Unicode MS" w:cs="Arial Unicode MS"/>
          <w:b/>
          <w:color w:val="000000"/>
          <w:sz w:val="28"/>
          <w:szCs w:val="28"/>
          <w:lang w:eastAsia="zh-CN"/>
        </w:rPr>
        <w:t>Проект размещения ограждающих устройств для регулирования въезда/выезда транспортных средств на территорию, расположенную по адресу: г. Москва, ул. Луганская, д.4 и д.8, Солнечная д.6.</w:t>
      </w:r>
    </w:p>
    <w:p w:rsidR="009E1F03" w:rsidRPr="009E1F03" w:rsidRDefault="009E1F03" w:rsidP="009E1F03">
      <w:pPr>
        <w:keepNext/>
        <w:suppressAutoHyphens/>
        <w:spacing w:before="240" w:after="60"/>
        <w:ind w:firstLine="709"/>
        <w:jc w:val="both"/>
        <w:outlineLvl w:val="1"/>
        <w:rPr>
          <w:rFonts w:eastAsia="Arial Unicode MS"/>
          <w:b/>
          <w:color w:val="000000"/>
          <w:lang w:eastAsia="zh-CN"/>
        </w:rPr>
      </w:pPr>
      <w:r w:rsidRPr="009E1F03">
        <w:rPr>
          <w:b/>
          <w:bCs/>
          <w:iCs/>
          <w:lang w:eastAsia="zh-CN"/>
        </w:rPr>
        <w:t>1.1. Схема размещения ограждающих устройств для регулирования въезда/выезда транспортных средств на придомовую территорию, расположенную по адресу: г. Москва, ул. Луганская, д.4 и д.8</w:t>
      </w:r>
    </w:p>
    <w:p w:rsidR="009E1F03" w:rsidRPr="009E1F03" w:rsidRDefault="009E1F03" w:rsidP="009E1F03">
      <w:pPr>
        <w:suppressAutoHyphens/>
        <w:ind w:firstLine="709"/>
        <w:jc w:val="both"/>
        <w:rPr>
          <w:rFonts w:eastAsia="Arial Unicode MS"/>
          <w:color w:val="000000"/>
          <w:lang w:eastAsia="zh-CN"/>
        </w:rPr>
      </w:pPr>
      <w:r w:rsidRPr="009E1F03">
        <w:rPr>
          <w:rFonts w:eastAsia="Arial Unicode MS"/>
          <w:color w:val="000000"/>
          <w:lang w:eastAsia="zh-CN"/>
        </w:rPr>
        <w:t xml:space="preserve">Место размещения: </w:t>
      </w:r>
      <w:r w:rsidRPr="009E1F03">
        <w:rPr>
          <w:rFonts w:eastAsia="Arial Unicode MS"/>
          <w:b/>
          <w:color w:val="000000"/>
          <w:lang w:eastAsia="zh-CN"/>
        </w:rPr>
        <w:t xml:space="preserve">г. Москва, ул. Луганская, д.4 и д.8, Солнечная д.6 </w:t>
      </w:r>
      <w:r w:rsidRPr="009E1F03">
        <w:rPr>
          <w:rFonts w:eastAsia="Arial Unicode MS"/>
          <w:color w:val="000000"/>
          <w:lang w:eastAsia="zh-CN"/>
        </w:rPr>
        <w:t>при въезде на придомовую территорию.</w:t>
      </w:r>
    </w:p>
    <w:p w:rsidR="009E1F03" w:rsidRPr="009E1F03" w:rsidRDefault="009E1F03" w:rsidP="009E1F03">
      <w:pPr>
        <w:suppressAutoHyphens/>
        <w:jc w:val="both"/>
        <w:rPr>
          <w:rFonts w:eastAsia="Arial Unicode MS"/>
          <w:color w:val="000000"/>
          <w:lang w:eastAsia="zh-CN"/>
        </w:rPr>
      </w:pPr>
    </w:p>
    <w:p w:rsidR="009E1F03" w:rsidRPr="009E1F03" w:rsidRDefault="009E1F03" w:rsidP="009E1F03">
      <w:pPr>
        <w:suppressAutoHyphens/>
        <w:jc w:val="center"/>
        <w:rPr>
          <w:rFonts w:ascii="Arial Unicode MS" w:eastAsia="Arial Unicode MS" w:hAnsi="Arial Unicode MS" w:cs="Arial Unicode MS"/>
          <w:color w:val="000000"/>
          <w:lang w:eastAsia="zh-CN"/>
        </w:rPr>
      </w:pPr>
      <w:r w:rsidRPr="009E1F03">
        <w:rPr>
          <w:rFonts w:ascii="Arial Unicode MS" w:eastAsia="Arial Unicode MS" w:hAnsi="Arial Unicode MS" w:cs="Arial Unicode MS"/>
          <w:noProof/>
          <w:color w:val="000000"/>
        </w:rPr>
        <w:drawing>
          <wp:inline distT="0" distB="0" distL="0" distR="0" wp14:anchorId="4F14AFCE" wp14:editId="67A95D0E">
            <wp:extent cx="4838700" cy="3547691"/>
            <wp:effectExtent l="0" t="0" r="0" b="0"/>
            <wp:docPr id="6" name="Рисунок 6" descr="C:\Users\Алексей\Desktop\Схема Меже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esktop\Схема Межеван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5301" cy="3552531"/>
                    </a:xfrm>
                    <a:prstGeom prst="rect">
                      <a:avLst/>
                    </a:prstGeom>
                    <a:noFill/>
                    <a:ln>
                      <a:noFill/>
                    </a:ln>
                  </pic:spPr>
                </pic:pic>
              </a:graphicData>
            </a:graphic>
          </wp:inline>
        </w:drawing>
      </w:r>
    </w:p>
    <w:p w:rsidR="009E1F03" w:rsidRPr="009E1F03" w:rsidRDefault="009E1F03" w:rsidP="009E1F03">
      <w:pPr>
        <w:suppressAutoHyphens/>
        <w:jc w:val="center"/>
        <w:rPr>
          <w:rFonts w:ascii="Arial Unicode MS" w:eastAsia="Arial Unicode MS" w:hAnsi="Arial Unicode MS" w:cs="Arial Unicode MS"/>
          <w:color w:val="000000"/>
          <w:lang w:eastAsia="zh-CN"/>
        </w:rPr>
      </w:pPr>
    </w:p>
    <w:p w:rsidR="009E1F03" w:rsidRPr="009E1F03" w:rsidRDefault="009E1F03" w:rsidP="009E1F03">
      <w:pPr>
        <w:suppressAutoHyphens/>
        <w:jc w:val="both"/>
        <w:rPr>
          <w:rFonts w:eastAsia="Arial Unicode MS"/>
          <w:color w:val="000000"/>
          <w:lang w:eastAsia="zh-CN"/>
        </w:rPr>
      </w:pPr>
      <w:r w:rsidRPr="009E1F03">
        <w:rPr>
          <w:rFonts w:eastAsia="Arial Unicode MS"/>
          <w:color w:val="000000"/>
          <w:lang w:eastAsia="zh-CN"/>
        </w:rPr>
        <w:t xml:space="preserve">- автоматический шлагбаум – «BFT MOOVI 60», осуществляет въезд автотранспорта. Въезд осуществляется при помощи звонка. </w:t>
      </w:r>
    </w:p>
    <w:p w:rsidR="009E1F03" w:rsidRPr="009E1F03" w:rsidRDefault="009E1F03" w:rsidP="009E1F03">
      <w:pPr>
        <w:suppressAutoHyphens/>
        <w:jc w:val="both"/>
        <w:rPr>
          <w:rFonts w:eastAsia="Arial Unicode MS" w:cs="Arial Unicode MS"/>
          <w:b/>
          <w:color w:val="000000"/>
          <w:lang w:eastAsia="zh-CN"/>
        </w:rPr>
      </w:pPr>
      <w:r w:rsidRPr="009E1F03">
        <w:rPr>
          <w:rFonts w:eastAsia="Arial Unicode MS" w:cs="Arial Unicode MS"/>
          <w:b/>
          <w:color w:val="000000"/>
          <w:lang w:eastAsia="zh-CN"/>
        </w:rPr>
        <w:t>1.2. Тип шлагбаума</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Шлагбаум автоматический с электромеханическим приводом поднятия и опускания стрелы. Шлагбаумы состоят из алюминиевой стрелы и стальной стойки, установленной на бетонное основание и закрепленной болтами, вмонтированными в бетонное основание. В стойке шлагбаума находится электромеханический привод, а также блок электронного управления. Привод, перемещающий стрелу, состоит из электродвигателя, редуктора, а также двух пружин, балансирующих вес стрелы. Шлагбаум снабжен системой доступа по пультам, а также устройством фиксации стрелы в любом положении и ручным расцепителем для работы в случае отсутствия электроэнергии.</w:t>
      </w:r>
    </w:p>
    <w:p w:rsidR="009E1F03" w:rsidRPr="009E1F03" w:rsidRDefault="009E1F03" w:rsidP="009E1F03">
      <w:pPr>
        <w:suppressAutoHyphens/>
        <w:jc w:val="both"/>
        <w:rPr>
          <w:rFonts w:eastAsia="Arial Unicode MS" w:cs="Arial Unicode MS"/>
          <w:b/>
          <w:color w:val="000000"/>
          <w:lang w:eastAsia="zh-CN"/>
        </w:rPr>
      </w:pPr>
      <w:r w:rsidRPr="009E1F03">
        <w:rPr>
          <w:rFonts w:eastAsia="Arial Unicode MS" w:cs="Arial Unicode MS"/>
          <w:b/>
          <w:color w:val="000000"/>
          <w:lang w:eastAsia="zh-CN"/>
        </w:rPr>
        <w:t>1.3. Размеры шлагбаума</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 автоматический шлагбаум «BFT MOOVI 60»</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 длина стрелы шлагбаума – 6400 мм;</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 высота стрелы шлагбаума – 1050 мм;</w:t>
      </w:r>
    </w:p>
    <w:p w:rsidR="009E1F03" w:rsidRPr="009E1F03" w:rsidRDefault="009E1F03" w:rsidP="009E1F03">
      <w:pPr>
        <w:keepNext/>
        <w:numPr>
          <w:ilvl w:val="1"/>
          <w:numId w:val="18"/>
        </w:numPr>
        <w:suppressAutoHyphens/>
        <w:spacing w:before="240" w:after="200" w:line="360" w:lineRule="auto"/>
        <w:jc w:val="both"/>
        <w:outlineLvl w:val="1"/>
        <w:rPr>
          <w:rFonts w:cs="Arial"/>
          <w:b/>
          <w:bCs/>
          <w:iCs/>
          <w:lang w:eastAsia="zh-CN"/>
        </w:rPr>
      </w:pPr>
      <w:r w:rsidRPr="009E1F03">
        <w:rPr>
          <w:rFonts w:cs="Arial"/>
          <w:b/>
          <w:bCs/>
          <w:iCs/>
          <w:lang w:eastAsia="zh-CN"/>
        </w:rPr>
        <w:lastRenderedPageBreak/>
        <w:t xml:space="preserve"> Вешний вид шлагбаума</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 xml:space="preserve">Шлагбаум (см. рисунок) состоит из круглой алюминиевой стрелы белого цвета, а также стальной стойки, обработанной катафорезом и покрашенной полиэфирной краской в серый цвет. </w:t>
      </w:r>
    </w:p>
    <w:p w:rsidR="009E1F03" w:rsidRPr="009E1F03" w:rsidRDefault="009E1F03" w:rsidP="009E1F03">
      <w:pPr>
        <w:keepNext/>
        <w:tabs>
          <w:tab w:val="num" w:pos="0"/>
        </w:tabs>
        <w:suppressAutoHyphens/>
        <w:spacing w:before="240" w:after="60" w:line="360" w:lineRule="auto"/>
        <w:ind w:firstLine="851"/>
        <w:jc w:val="both"/>
        <w:outlineLvl w:val="0"/>
        <w:rPr>
          <w:rFonts w:cs="Arial"/>
          <w:b/>
          <w:bCs/>
          <w:kern w:val="1"/>
          <w:sz w:val="32"/>
          <w:szCs w:val="32"/>
          <w:lang w:eastAsia="zh-CN"/>
        </w:rPr>
      </w:pPr>
      <w:r w:rsidRPr="009E1F03">
        <w:rPr>
          <w:rFonts w:cs="Arial"/>
          <w:b/>
          <w:bCs/>
          <w:kern w:val="1"/>
          <w:sz w:val="32"/>
          <w:szCs w:val="32"/>
          <w:lang w:eastAsia="zh-CN"/>
        </w:rPr>
        <w:t xml:space="preserve">                                                              </w:t>
      </w:r>
      <w:r w:rsidRPr="009E1F03">
        <w:rPr>
          <w:rFonts w:cs="Arial"/>
          <w:b/>
          <w:bCs/>
          <w:noProof/>
          <w:kern w:val="1"/>
          <w:sz w:val="32"/>
          <w:szCs w:val="32"/>
        </w:rPr>
        <w:drawing>
          <wp:inline distT="0" distB="0" distL="0" distR="0" wp14:anchorId="6763DF84" wp14:editId="7D82A756">
            <wp:extent cx="2042185" cy="1744980"/>
            <wp:effectExtent l="0" t="0" r="0" b="7620"/>
            <wp:docPr id="8" name="Рисунок 8" descr="C:\Users\hr\Downloads\shlagbaumy-bft-moovi-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ownloads\shlagbaumy-bft-moovi-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838" cy="1748101"/>
                    </a:xfrm>
                    <a:prstGeom prst="rect">
                      <a:avLst/>
                    </a:prstGeom>
                    <a:noFill/>
                    <a:ln>
                      <a:noFill/>
                    </a:ln>
                  </pic:spPr>
                </pic:pic>
              </a:graphicData>
            </a:graphic>
          </wp:inline>
        </w:drawing>
      </w:r>
    </w:p>
    <w:p w:rsidR="009E1F03" w:rsidRPr="009E1F03" w:rsidRDefault="009E1F03" w:rsidP="009E1F03">
      <w:pPr>
        <w:keepNext/>
        <w:numPr>
          <w:ilvl w:val="1"/>
          <w:numId w:val="17"/>
        </w:numPr>
        <w:suppressAutoHyphens/>
        <w:spacing w:before="240" w:after="60" w:line="360" w:lineRule="auto"/>
        <w:jc w:val="both"/>
        <w:outlineLvl w:val="1"/>
        <w:rPr>
          <w:rFonts w:cs="Arial"/>
          <w:b/>
          <w:bCs/>
          <w:iCs/>
          <w:lang w:eastAsia="zh-CN"/>
        </w:rPr>
      </w:pPr>
      <w:r w:rsidRPr="009E1F03">
        <w:rPr>
          <w:rFonts w:cs="Arial"/>
          <w:b/>
          <w:bCs/>
          <w:iCs/>
          <w:lang w:eastAsia="zh-CN"/>
        </w:rPr>
        <w:t xml:space="preserve"> Технические характеристики шлагбаума</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Питание - переменное 50 гц, постоянное 230 В</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Потребляемая мощность - 300 Вт</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Минимальное время открывания – 6-8 с</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Диапазон рабочих температур -  - 30 + 55 °С</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Рабочий цикл (циклов/сутки) - 600</w:t>
      </w:r>
    </w:p>
    <w:p w:rsidR="009E1F03" w:rsidRPr="009E1F03" w:rsidRDefault="009E1F03" w:rsidP="009E1F03">
      <w:pPr>
        <w:suppressAutoHyphens/>
        <w:spacing w:before="120"/>
        <w:jc w:val="both"/>
        <w:rPr>
          <w:rFonts w:eastAsia="Arial Unicode MS" w:cs="Arial Unicode MS"/>
          <w:color w:val="000000"/>
          <w:lang w:eastAsia="zh-CN"/>
        </w:rPr>
      </w:pPr>
      <w:r w:rsidRPr="009E1F03">
        <w:rPr>
          <w:rFonts w:eastAsia="Arial Unicode MS" w:cs="Arial Unicode MS"/>
          <w:color w:val="000000"/>
          <w:lang w:eastAsia="zh-CN"/>
        </w:rPr>
        <w:t>Вес (без стрелы) кг – 35,6 кг</w:t>
      </w:r>
    </w:p>
    <w:p w:rsidR="009E1F03" w:rsidRPr="009E1F03" w:rsidRDefault="009E1F03" w:rsidP="009E1F03">
      <w:pPr>
        <w:keepNext/>
        <w:suppressAutoHyphens/>
        <w:spacing w:before="240" w:after="60" w:line="360" w:lineRule="auto"/>
        <w:jc w:val="both"/>
        <w:outlineLvl w:val="1"/>
        <w:rPr>
          <w:rFonts w:cs="Arial"/>
          <w:b/>
          <w:bCs/>
          <w:iCs/>
          <w:lang w:eastAsia="zh-CN"/>
        </w:rPr>
      </w:pPr>
      <w:r w:rsidRPr="009E1F03">
        <w:rPr>
          <w:rFonts w:cs="Arial"/>
          <w:b/>
          <w:bCs/>
          <w:iCs/>
          <w:lang w:eastAsia="zh-CN"/>
        </w:rPr>
        <w:t xml:space="preserve">1.5 Разрешение на проведение строительных работ: </w:t>
      </w:r>
    </w:p>
    <w:p w:rsidR="009E1F03" w:rsidRPr="009E1F03" w:rsidRDefault="009E1F03" w:rsidP="009E1F03">
      <w:pPr>
        <w:suppressAutoHyphens/>
        <w:ind w:firstLine="851"/>
        <w:jc w:val="both"/>
        <w:rPr>
          <w:rFonts w:eastAsia="Arial Unicode MS" w:cs="Arial Unicode MS"/>
          <w:color w:val="000000"/>
          <w:lang w:eastAsia="zh-CN"/>
        </w:rPr>
      </w:pPr>
      <w:r w:rsidRPr="009E1F03">
        <w:rPr>
          <w:rFonts w:eastAsia="Arial Unicode MS" w:cs="Arial Unicode MS"/>
          <w:color w:val="000000"/>
          <w:lang w:eastAsia="zh-CN"/>
        </w:rPr>
        <w:t>В соответствии с Постановлением Правительства Москвы от 27.08.2013 г. № 432-ПП "О видах, параметрах и характеристиках объектов благоустройства территории, для размещения которых не требуется получение разрешения на строительство, и видах работ по изменению объектов капитального строительства и (или) их частей, не затрагивающих конструктивные и иные характеристики их надежности и безопасности, не нарушающих права третьих лиц и не превышающих предельные параметры разрешенного строительства, реконструкции, установленные градостроительными планами соответствующих земельных участков, для выполнения которых не требуется получение разрешения на строительство" разрешение на проведение строительных работ по установке шлагбаумов с организацией оснований с заглублением до 0.3 м не требуется.</w:t>
      </w:r>
    </w:p>
    <w:p w:rsidR="009E1F03" w:rsidRPr="009E1F03" w:rsidRDefault="009E1F03" w:rsidP="009E1F03">
      <w:pPr>
        <w:shd w:val="clear" w:color="auto" w:fill="FFFFFF"/>
        <w:suppressAutoHyphens/>
        <w:spacing w:line="223" w:lineRule="exact"/>
        <w:rPr>
          <w:color w:val="000000"/>
          <w:lang w:eastAsia="zh-CN"/>
        </w:rPr>
      </w:pPr>
    </w:p>
    <w:p w:rsidR="009E1F03" w:rsidRPr="009E1F03" w:rsidRDefault="009E1F03" w:rsidP="009E1F03">
      <w:pPr>
        <w:ind w:firstLine="708"/>
        <w:jc w:val="both"/>
        <w:rPr>
          <w:rFonts w:eastAsia="Calibri"/>
          <w:sz w:val="28"/>
          <w:szCs w:val="28"/>
        </w:rPr>
      </w:pPr>
    </w:p>
    <w:p w:rsidR="009E1F03" w:rsidRPr="009E1F03" w:rsidRDefault="009E1F03" w:rsidP="009E1F03">
      <w:pPr>
        <w:ind w:firstLine="708"/>
        <w:jc w:val="both"/>
        <w:rPr>
          <w:rFonts w:eastAsia="Calibri"/>
          <w:sz w:val="28"/>
          <w:szCs w:val="28"/>
        </w:rPr>
      </w:pPr>
    </w:p>
    <w:p w:rsidR="009E1F03" w:rsidRPr="009E1F03" w:rsidRDefault="009E1F03" w:rsidP="009E1F03">
      <w:pPr>
        <w:ind w:firstLine="708"/>
        <w:jc w:val="both"/>
        <w:rPr>
          <w:rFonts w:eastAsia="Calibri"/>
          <w:sz w:val="28"/>
          <w:szCs w:val="28"/>
        </w:rPr>
      </w:pPr>
    </w:p>
    <w:p w:rsidR="009E1F03" w:rsidRDefault="009E1F03" w:rsidP="00A33D0B">
      <w:pPr>
        <w:rPr>
          <w:b/>
          <w:sz w:val="28"/>
          <w:szCs w:val="28"/>
          <w:u w:val="single"/>
        </w:rPr>
      </w:pPr>
    </w:p>
    <w:sectPr w:rsidR="009E1F03"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80D" w:rsidRDefault="00E4780D" w:rsidP="00285CBF">
      <w:r>
        <w:separator/>
      </w:r>
    </w:p>
  </w:endnote>
  <w:endnote w:type="continuationSeparator" w:id="0">
    <w:p w:rsidR="00E4780D" w:rsidRDefault="00E4780D"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80D" w:rsidRDefault="00E4780D" w:rsidP="00285CBF">
      <w:r>
        <w:separator/>
      </w:r>
    </w:p>
  </w:footnote>
  <w:footnote w:type="continuationSeparator" w:id="0">
    <w:p w:rsidR="00E4780D" w:rsidRDefault="00E4780D"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37474FA3"/>
    <w:multiLevelType w:val="multilevel"/>
    <w:tmpl w:val="CF3007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10"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1" w15:restartNumberingAfterBreak="0">
    <w:nsid w:val="67C36ED4"/>
    <w:multiLevelType w:val="multilevel"/>
    <w:tmpl w:val="1BCA75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3"/>
  </w:num>
  <w:num w:numId="13">
    <w:abstractNumId w:val="14"/>
  </w:num>
  <w:num w:numId="14">
    <w:abstractNumId w:val="4"/>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0DF5"/>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1F03"/>
    <w:rsid w:val="009E2E0B"/>
    <w:rsid w:val="009E3859"/>
    <w:rsid w:val="00A0575D"/>
    <w:rsid w:val="00A273A1"/>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4780D"/>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F853-1DCF-4899-AF57-E230817A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2018-06-18T11:24:00Z</cp:lastPrinted>
  <dcterms:created xsi:type="dcterms:W3CDTF">2018-05-22T05:33:00Z</dcterms:created>
  <dcterms:modified xsi:type="dcterms:W3CDTF">2020-02-19T09:29:00Z</dcterms:modified>
</cp:coreProperties>
</file>