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725958">
        <w:rPr>
          <w:b/>
          <w:sz w:val="28"/>
          <w:szCs w:val="28"/>
          <w:u w:val="single"/>
        </w:rPr>
        <w:t>07</w:t>
      </w:r>
    </w:p>
    <w:p w:rsidR="00432756" w:rsidRDefault="00432756" w:rsidP="00432756">
      <w:pPr>
        <w:tabs>
          <w:tab w:val="left" w:pos="5103"/>
        </w:tabs>
        <w:ind w:right="3826"/>
        <w:jc w:val="both"/>
        <w:rPr>
          <w:b/>
          <w:sz w:val="28"/>
          <w:szCs w:val="28"/>
        </w:rPr>
      </w:pPr>
    </w:p>
    <w:p w:rsidR="00725958" w:rsidRPr="00725958" w:rsidRDefault="00725958" w:rsidP="00725958">
      <w:pPr>
        <w:tabs>
          <w:tab w:val="left" w:pos="5245"/>
        </w:tabs>
        <w:ind w:right="4110"/>
        <w:jc w:val="both"/>
        <w:rPr>
          <w:b/>
          <w:sz w:val="28"/>
          <w:szCs w:val="28"/>
        </w:rPr>
      </w:pPr>
      <w:r w:rsidRPr="00725958">
        <w:rPr>
          <w:b/>
          <w:sz w:val="28"/>
          <w:szCs w:val="28"/>
        </w:rPr>
        <w:t xml:space="preserve">О согласовании проекта изменения схемы размещения нестационарных торговых объектов на территории района Царицыно города Москвы, в части исключения двух адресов из схемы размещения нестационарных торговых объектов </w:t>
      </w:r>
    </w:p>
    <w:p w:rsidR="00725958" w:rsidRPr="00725958" w:rsidRDefault="00725958" w:rsidP="00725958">
      <w:pPr>
        <w:tabs>
          <w:tab w:val="left" w:pos="5245"/>
        </w:tabs>
        <w:ind w:right="4110"/>
        <w:jc w:val="both"/>
        <w:rPr>
          <w:b/>
          <w:bCs/>
          <w:sz w:val="28"/>
          <w:szCs w:val="28"/>
          <w:lang w:eastAsia="en-US"/>
        </w:rPr>
      </w:pPr>
    </w:p>
    <w:p w:rsidR="00725958" w:rsidRPr="00725958" w:rsidRDefault="00725958" w:rsidP="00725958">
      <w:pPr>
        <w:autoSpaceDE w:val="0"/>
        <w:autoSpaceDN w:val="0"/>
        <w:adjustRightInd w:val="0"/>
        <w:ind w:firstLine="708"/>
        <w:jc w:val="both"/>
        <w:rPr>
          <w:color w:val="000000"/>
          <w:sz w:val="28"/>
          <w:szCs w:val="28"/>
          <w:lang w:eastAsia="en-US"/>
        </w:rPr>
      </w:pPr>
      <w:r w:rsidRPr="00725958">
        <w:rPr>
          <w:color w:val="000000"/>
          <w:sz w:val="28"/>
          <w:szCs w:val="28"/>
          <w:lang w:eastAsia="en-US"/>
        </w:rPr>
        <w:t xml:space="preserve">В соответствии с пунктом  1 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с разделом </w:t>
      </w:r>
      <w:r w:rsidRPr="00725958">
        <w:rPr>
          <w:color w:val="000000"/>
          <w:sz w:val="28"/>
          <w:szCs w:val="28"/>
          <w:lang w:val="en-US" w:eastAsia="en-US"/>
        </w:rPr>
        <w:t>II</w:t>
      </w:r>
      <w:r w:rsidRPr="00725958">
        <w:rPr>
          <w:color w:val="000000"/>
          <w:sz w:val="28"/>
          <w:szCs w:val="28"/>
          <w:lang w:eastAsia="en-US"/>
        </w:rPr>
        <w:t xml:space="preserve"> приложения 1 к постановлению Правительства Москвы от 09 июня 2015 года № 343-ПП «О мерах по совершенствованию порядка размещения нестационарных торговых объектов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 и принимая во внимание обращения Департамента средств массовой информации и рекламы города Москвы от 29 января 2019 года №02-25-36/19 и от 31 января 2019 года №02-2-61/19</w:t>
      </w:r>
    </w:p>
    <w:p w:rsidR="00725958" w:rsidRPr="00725958" w:rsidRDefault="00725958" w:rsidP="00725958">
      <w:pPr>
        <w:autoSpaceDE w:val="0"/>
        <w:autoSpaceDN w:val="0"/>
        <w:adjustRightInd w:val="0"/>
        <w:ind w:firstLine="708"/>
        <w:jc w:val="both"/>
        <w:rPr>
          <w:color w:val="000000"/>
          <w:sz w:val="28"/>
          <w:szCs w:val="28"/>
          <w:lang w:eastAsia="en-US"/>
        </w:rPr>
      </w:pPr>
      <w:r w:rsidRPr="00725958">
        <w:rPr>
          <w:b/>
          <w:bCs/>
          <w:color w:val="000000"/>
          <w:sz w:val="28"/>
          <w:szCs w:val="28"/>
          <w:lang w:eastAsia="en-US"/>
        </w:rPr>
        <w:t xml:space="preserve">Совет депутатов муниципального округа Царицыно решил: </w:t>
      </w:r>
    </w:p>
    <w:p w:rsidR="00725958" w:rsidRPr="00725958" w:rsidRDefault="00725958" w:rsidP="00725958">
      <w:pPr>
        <w:autoSpaceDE w:val="0"/>
        <w:autoSpaceDN w:val="0"/>
        <w:adjustRightInd w:val="0"/>
        <w:ind w:firstLine="708"/>
        <w:jc w:val="both"/>
        <w:rPr>
          <w:color w:val="000000"/>
          <w:sz w:val="28"/>
          <w:szCs w:val="28"/>
          <w:lang w:eastAsia="en-US"/>
        </w:rPr>
      </w:pPr>
      <w:r w:rsidRPr="00725958">
        <w:rPr>
          <w:color w:val="000000"/>
          <w:sz w:val="28"/>
          <w:szCs w:val="28"/>
          <w:lang w:eastAsia="en-US"/>
        </w:rPr>
        <w:t xml:space="preserve">1. </w:t>
      </w:r>
      <w:r w:rsidRPr="00725958">
        <w:rPr>
          <w:bCs/>
          <w:color w:val="000000"/>
          <w:sz w:val="28"/>
          <w:szCs w:val="28"/>
          <w:lang w:eastAsia="en-US"/>
        </w:rPr>
        <w:t>Согласовать</w:t>
      </w:r>
      <w:r w:rsidRPr="00725958">
        <w:rPr>
          <w:b/>
          <w:bCs/>
          <w:color w:val="000000"/>
          <w:sz w:val="28"/>
          <w:szCs w:val="28"/>
          <w:lang w:eastAsia="en-US"/>
        </w:rPr>
        <w:t xml:space="preserve"> </w:t>
      </w:r>
      <w:r w:rsidRPr="00725958">
        <w:rPr>
          <w:color w:val="000000"/>
          <w:sz w:val="28"/>
          <w:szCs w:val="28"/>
          <w:lang w:eastAsia="en-US"/>
        </w:rPr>
        <w:t>проект изменения схемы размещения нестационарных торговых объектов на территории района Царицыно города Москвы, в части исключения двух адресов из схемы размещения нестационарных торговых объектов согласно приложению, к настоящему решению.</w:t>
      </w:r>
    </w:p>
    <w:p w:rsidR="00725958" w:rsidRPr="00725958" w:rsidRDefault="00725958" w:rsidP="00725958">
      <w:pPr>
        <w:autoSpaceDE w:val="0"/>
        <w:autoSpaceDN w:val="0"/>
        <w:adjustRightInd w:val="0"/>
        <w:ind w:firstLine="708"/>
        <w:jc w:val="both"/>
        <w:rPr>
          <w:color w:val="000000"/>
          <w:sz w:val="28"/>
          <w:szCs w:val="28"/>
          <w:lang w:eastAsia="en-US"/>
        </w:rPr>
      </w:pPr>
      <w:r w:rsidRPr="00725958">
        <w:rPr>
          <w:color w:val="000000"/>
          <w:sz w:val="28"/>
          <w:szCs w:val="28"/>
          <w:lang w:eastAsia="en-US"/>
        </w:rPr>
        <w:t>2. Направить настоящее решение в Департамент территориальных органов исполнительной власти города Москвы,</w:t>
      </w:r>
      <w:r w:rsidRPr="00725958">
        <w:rPr>
          <w:rFonts w:asciiTheme="minorHAnsi" w:eastAsiaTheme="minorHAnsi" w:hAnsiTheme="minorHAnsi" w:cstheme="minorBidi"/>
          <w:sz w:val="22"/>
          <w:szCs w:val="22"/>
          <w:lang w:eastAsia="en-US"/>
        </w:rPr>
        <w:t xml:space="preserve"> </w:t>
      </w:r>
      <w:r w:rsidRPr="00725958">
        <w:rPr>
          <w:color w:val="000000"/>
          <w:sz w:val="28"/>
          <w:szCs w:val="28"/>
          <w:lang w:eastAsia="en-US"/>
        </w:rPr>
        <w:t xml:space="preserve">Департамент средств массовой информации и рекламы города Москвы, управу района Царицыно города Москвы. </w:t>
      </w:r>
    </w:p>
    <w:p w:rsidR="00725958" w:rsidRPr="00725958" w:rsidRDefault="00725958" w:rsidP="00725958">
      <w:pPr>
        <w:ind w:firstLine="708"/>
        <w:jc w:val="both"/>
        <w:rPr>
          <w:sz w:val="28"/>
          <w:szCs w:val="28"/>
        </w:rPr>
      </w:pPr>
      <w:r w:rsidRPr="00725958">
        <w:rPr>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725958" w:rsidRPr="00725958" w:rsidRDefault="00725958" w:rsidP="00725958">
      <w:pPr>
        <w:ind w:firstLine="708"/>
        <w:jc w:val="both"/>
        <w:rPr>
          <w:sz w:val="28"/>
          <w:szCs w:val="28"/>
        </w:rPr>
      </w:pPr>
      <w:r w:rsidRPr="00725958">
        <w:rPr>
          <w:sz w:val="28"/>
          <w:szCs w:val="28"/>
        </w:rPr>
        <w:t>4. Контроль за выполнением настоящего решения возложить на главу муниципального округа Царицыно Е.А. Самышину.</w:t>
      </w:r>
    </w:p>
    <w:p w:rsidR="00725958" w:rsidRPr="00725958" w:rsidRDefault="00725958" w:rsidP="00725958">
      <w:pPr>
        <w:ind w:firstLine="708"/>
        <w:jc w:val="both"/>
        <w:rPr>
          <w:sz w:val="28"/>
          <w:szCs w:val="28"/>
        </w:rPr>
      </w:pPr>
    </w:p>
    <w:p w:rsidR="00725958" w:rsidRPr="00725958" w:rsidRDefault="00725958" w:rsidP="00725958">
      <w:pPr>
        <w:jc w:val="both"/>
        <w:rPr>
          <w:b/>
          <w:sz w:val="28"/>
          <w:szCs w:val="28"/>
        </w:rPr>
      </w:pPr>
      <w:r w:rsidRPr="00725958">
        <w:rPr>
          <w:b/>
          <w:sz w:val="28"/>
          <w:szCs w:val="28"/>
        </w:rPr>
        <w:t>Глава муниципального округа Царицыно</w:t>
      </w:r>
      <w:r w:rsidRPr="00725958">
        <w:rPr>
          <w:b/>
          <w:sz w:val="28"/>
          <w:szCs w:val="28"/>
        </w:rPr>
        <w:tab/>
        <w:t xml:space="preserve">                      Е.А. Самышина</w:t>
      </w:r>
    </w:p>
    <w:p w:rsidR="00725958" w:rsidRDefault="00725958" w:rsidP="00725958">
      <w:pPr>
        <w:jc w:val="both"/>
        <w:rPr>
          <w:rFonts w:eastAsia="Calibri"/>
          <w:sz w:val="22"/>
          <w:szCs w:val="22"/>
        </w:rPr>
      </w:pPr>
    </w:p>
    <w:p w:rsidR="00725958" w:rsidRDefault="00725958" w:rsidP="00725958">
      <w:pPr>
        <w:jc w:val="both"/>
        <w:rPr>
          <w:rFonts w:eastAsia="Calibri"/>
          <w:sz w:val="22"/>
          <w:szCs w:val="22"/>
        </w:rPr>
      </w:pPr>
    </w:p>
    <w:p w:rsidR="00725958" w:rsidRDefault="00725958" w:rsidP="00725958">
      <w:pPr>
        <w:jc w:val="both"/>
        <w:rPr>
          <w:rFonts w:eastAsia="Calibri"/>
          <w:sz w:val="22"/>
          <w:szCs w:val="22"/>
        </w:rPr>
      </w:pPr>
    </w:p>
    <w:p w:rsidR="00725958" w:rsidRDefault="00725958" w:rsidP="00725958">
      <w:pPr>
        <w:jc w:val="both"/>
        <w:rPr>
          <w:rFonts w:eastAsia="Calibri"/>
          <w:sz w:val="22"/>
          <w:szCs w:val="22"/>
        </w:rPr>
      </w:pPr>
    </w:p>
    <w:p w:rsidR="00725958" w:rsidRDefault="00725958" w:rsidP="00725958">
      <w:pPr>
        <w:jc w:val="both"/>
        <w:rPr>
          <w:rFonts w:eastAsia="Calibri"/>
          <w:sz w:val="22"/>
          <w:szCs w:val="22"/>
        </w:rPr>
      </w:pPr>
    </w:p>
    <w:p w:rsidR="00725958" w:rsidRPr="00725958" w:rsidRDefault="00725958" w:rsidP="00725958">
      <w:pPr>
        <w:jc w:val="both"/>
        <w:rPr>
          <w:rFonts w:eastAsia="Calibri"/>
          <w:sz w:val="22"/>
          <w:szCs w:val="22"/>
        </w:rPr>
      </w:pPr>
      <w:bookmarkStart w:id="0" w:name="_GoBack"/>
      <w:bookmarkEnd w:id="0"/>
    </w:p>
    <w:p w:rsidR="00725958" w:rsidRPr="00725958" w:rsidRDefault="00725958" w:rsidP="00725958">
      <w:pPr>
        <w:jc w:val="both"/>
        <w:rPr>
          <w:rFonts w:eastAsia="Calibri"/>
          <w:sz w:val="22"/>
          <w:szCs w:val="22"/>
        </w:rPr>
      </w:pPr>
      <w:r w:rsidRPr="00725958">
        <w:rPr>
          <w:rFonts w:eastAsia="Calibri"/>
          <w:sz w:val="22"/>
          <w:szCs w:val="22"/>
        </w:rPr>
        <w:t xml:space="preserve">                                                                                                            Приложение  </w:t>
      </w:r>
    </w:p>
    <w:p w:rsidR="00725958" w:rsidRPr="00725958" w:rsidRDefault="00725958" w:rsidP="00725958">
      <w:pPr>
        <w:ind w:left="5954"/>
        <w:contextualSpacing/>
        <w:jc w:val="both"/>
        <w:rPr>
          <w:sz w:val="22"/>
          <w:szCs w:val="22"/>
        </w:rPr>
      </w:pPr>
      <w:r w:rsidRPr="00725958">
        <w:rPr>
          <w:sz w:val="22"/>
          <w:szCs w:val="22"/>
        </w:rPr>
        <w:t>к решению Совета депутатов муниципального округа Царицыно</w:t>
      </w:r>
    </w:p>
    <w:p w:rsidR="00725958" w:rsidRPr="00725958" w:rsidRDefault="00725958" w:rsidP="00725958">
      <w:pPr>
        <w:ind w:left="5954"/>
        <w:contextualSpacing/>
        <w:jc w:val="both"/>
        <w:rPr>
          <w:sz w:val="22"/>
          <w:szCs w:val="22"/>
        </w:rPr>
      </w:pPr>
      <w:r w:rsidRPr="00725958">
        <w:rPr>
          <w:sz w:val="22"/>
          <w:szCs w:val="22"/>
        </w:rPr>
        <w:t>от 20.02.2019 №ЦА-01-05-02/07</w:t>
      </w:r>
    </w:p>
    <w:p w:rsidR="00725958" w:rsidRPr="00725958" w:rsidRDefault="00725958" w:rsidP="00725958">
      <w:pPr>
        <w:ind w:left="5954"/>
        <w:contextualSpacing/>
        <w:jc w:val="both"/>
      </w:pPr>
    </w:p>
    <w:p w:rsidR="00725958" w:rsidRPr="00725958" w:rsidRDefault="00725958" w:rsidP="00725958">
      <w:pPr>
        <w:ind w:left="5954"/>
        <w:contextualSpacing/>
        <w:jc w:val="both"/>
        <w:rPr>
          <w:sz w:val="28"/>
          <w:szCs w:val="28"/>
        </w:rPr>
      </w:pPr>
    </w:p>
    <w:p w:rsidR="00725958" w:rsidRPr="00725958" w:rsidRDefault="00725958" w:rsidP="00725958">
      <w:pPr>
        <w:jc w:val="center"/>
        <w:rPr>
          <w:rFonts w:eastAsia="Calibri"/>
          <w:b/>
          <w:sz w:val="28"/>
          <w:szCs w:val="28"/>
        </w:rPr>
      </w:pPr>
      <w:r w:rsidRPr="00725958">
        <w:rPr>
          <w:rFonts w:eastAsia="Calibri"/>
          <w:b/>
          <w:sz w:val="28"/>
          <w:szCs w:val="28"/>
        </w:rPr>
        <w:t xml:space="preserve"> Проект изменения схемы размещения </w:t>
      </w:r>
    </w:p>
    <w:p w:rsidR="00725958" w:rsidRPr="00725958" w:rsidRDefault="00725958" w:rsidP="00725958">
      <w:pPr>
        <w:jc w:val="center"/>
        <w:rPr>
          <w:rFonts w:eastAsia="Calibri"/>
          <w:b/>
          <w:sz w:val="28"/>
          <w:szCs w:val="28"/>
        </w:rPr>
      </w:pPr>
      <w:r w:rsidRPr="00725958">
        <w:rPr>
          <w:rFonts w:eastAsia="Calibri"/>
          <w:b/>
          <w:sz w:val="28"/>
          <w:szCs w:val="28"/>
        </w:rPr>
        <w:t>нестационарных торговых объектов со специализацией «Печать» на территории муниципального округа Царицыно</w:t>
      </w:r>
    </w:p>
    <w:p w:rsidR="00725958" w:rsidRPr="00725958" w:rsidRDefault="00725958" w:rsidP="00725958">
      <w:pPr>
        <w:autoSpaceDE w:val="0"/>
        <w:autoSpaceDN w:val="0"/>
        <w:adjustRightInd w:val="0"/>
        <w:ind w:firstLine="708"/>
        <w:jc w:val="both"/>
        <w:rPr>
          <w:color w:val="000000"/>
          <w:sz w:val="28"/>
          <w:szCs w:val="28"/>
          <w:lang w:eastAsia="en-US"/>
        </w:rPr>
      </w:pPr>
    </w:p>
    <w:tbl>
      <w:tblPr>
        <w:tblStyle w:val="161"/>
        <w:tblW w:w="10632" w:type="dxa"/>
        <w:tblInd w:w="-601" w:type="dxa"/>
        <w:tblLayout w:type="fixed"/>
        <w:tblLook w:val="04A0" w:firstRow="1" w:lastRow="0" w:firstColumn="1" w:lastColumn="0" w:noHBand="0" w:noVBand="1"/>
      </w:tblPr>
      <w:tblGrid>
        <w:gridCol w:w="567"/>
        <w:gridCol w:w="1017"/>
        <w:gridCol w:w="1455"/>
        <w:gridCol w:w="1152"/>
        <w:gridCol w:w="1338"/>
        <w:gridCol w:w="1559"/>
        <w:gridCol w:w="1701"/>
        <w:gridCol w:w="1843"/>
      </w:tblGrid>
      <w:tr w:rsidR="00725958" w:rsidRPr="00725958" w:rsidTr="002D2CF0">
        <w:tc>
          <w:tcPr>
            <w:tcW w:w="567"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 п/п</w:t>
            </w:r>
          </w:p>
        </w:tc>
        <w:tc>
          <w:tcPr>
            <w:tcW w:w="1017"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Вид объекта</w:t>
            </w:r>
          </w:p>
        </w:tc>
        <w:tc>
          <w:tcPr>
            <w:tcW w:w="1455"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Адрес размещения</w:t>
            </w:r>
          </w:p>
        </w:tc>
        <w:tc>
          <w:tcPr>
            <w:tcW w:w="1152"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Площадь объекта</w:t>
            </w:r>
          </w:p>
        </w:tc>
        <w:tc>
          <w:tcPr>
            <w:tcW w:w="1338"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Специали-</w:t>
            </w:r>
          </w:p>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зация</w:t>
            </w:r>
          </w:p>
        </w:tc>
        <w:tc>
          <w:tcPr>
            <w:tcW w:w="1559"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Период</w:t>
            </w:r>
          </w:p>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размещения</w:t>
            </w:r>
          </w:p>
        </w:tc>
        <w:tc>
          <w:tcPr>
            <w:tcW w:w="1701"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Корректировка</w:t>
            </w:r>
          </w:p>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схемы</w:t>
            </w:r>
          </w:p>
        </w:tc>
        <w:tc>
          <w:tcPr>
            <w:tcW w:w="1843"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Причина исключения</w:t>
            </w:r>
          </w:p>
        </w:tc>
      </w:tr>
      <w:tr w:rsidR="00725958" w:rsidRPr="00725958" w:rsidTr="002D2CF0">
        <w:tc>
          <w:tcPr>
            <w:tcW w:w="567"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1</w:t>
            </w:r>
          </w:p>
        </w:tc>
        <w:tc>
          <w:tcPr>
            <w:tcW w:w="1017"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Киоск</w:t>
            </w:r>
          </w:p>
        </w:tc>
        <w:tc>
          <w:tcPr>
            <w:tcW w:w="1455"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Бехтерева ул., вл. 41, корп. 1</w:t>
            </w:r>
          </w:p>
        </w:tc>
        <w:tc>
          <w:tcPr>
            <w:tcW w:w="1152" w:type="dxa"/>
          </w:tcPr>
          <w:p w:rsidR="00725958" w:rsidRPr="00725958" w:rsidRDefault="00725958" w:rsidP="00725958">
            <w:pPr>
              <w:autoSpaceDE w:val="0"/>
              <w:autoSpaceDN w:val="0"/>
              <w:adjustRightInd w:val="0"/>
              <w:jc w:val="center"/>
              <w:rPr>
                <w:color w:val="000000"/>
                <w:sz w:val="22"/>
                <w:szCs w:val="22"/>
                <w:lang w:eastAsia="en-US"/>
              </w:rPr>
            </w:pPr>
            <w:r w:rsidRPr="00725958">
              <w:rPr>
                <w:color w:val="000000"/>
                <w:sz w:val="22"/>
                <w:szCs w:val="22"/>
                <w:lang w:eastAsia="en-US"/>
              </w:rPr>
              <w:t>6</w:t>
            </w:r>
          </w:p>
        </w:tc>
        <w:tc>
          <w:tcPr>
            <w:tcW w:w="1338"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 xml:space="preserve"> Печать</w:t>
            </w:r>
          </w:p>
        </w:tc>
        <w:tc>
          <w:tcPr>
            <w:tcW w:w="1559"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с 01 января по 31 декабря</w:t>
            </w:r>
          </w:p>
        </w:tc>
        <w:tc>
          <w:tcPr>
            <w:tcW w:w="1701"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Исключение адреса из схемы</w:t>
            </w:r>
          </w:p>
        </w:tc>
        <w:tc>
          <w:tcPr>
            <w:tcW w:w="1843"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Несоответствие требованиям к размещению, установленным ППМ от 03.02.2011 №26-ПП (пп.3 п. 8 прил.1)</w:t>
            </w:r>
          </w:p>
        </w:tc>
      </w:tr>
      <w:tr w:rsidR="00725958" w:rsidRPr="00725958" w:rsidTr="002D2CF0">
        <w:tc>
          <w:tcPr>
            <w:tcW w:w="567"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2</w:t>
            </w:r>
          </w:p>
        </w:tc>
        <w:tc>
          <w:tcPr>
            <w:tcW w:w="1017"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Киоск</w:t>
            </w:r>
          </w:p>
        </w:tc>
        <w:tc>
          <w:tcPr>
            <w:tcW w:w="1455"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Бакинская ул., вл. 18</w:t>
            </w:r>
          </w:p>
        </w:tc>
        <w:tc>
          <w:tcPr>
            <w:tcW w:w="1152" w:type="dxa"/>
          </w:tcPr>
          <w:p w:rsidR="00725958" w:rsidRPr="00725958" w:rsidRDefault="00725958" w:rsidP="00725958">
            <w:pPr>
              <w:autoSpaceDE w:val="0"/>
              <w:autoSpaceDN w:val="0"/>
              <w:adjustRightInd w:val="0"/>
              <w:jc w:val="center"/>
              <w:rPr>
                <w:color w:val="000000"/>
                <w:sz w:val="22"/>
                <w:szCs w:val="22"/>
                <w:lang w:eastAsia="en-US"/>
              </w:rPr>
            </w:pPr>
            <w:r w:rsidRPr="00725958">
              <w:rPr>
                <w:color w:val="000000"/>
                <w:sz w:val="22"/>
                <w:szCs w:val="22"/>
                <w:lang w:eastAsia="en-US"/>
              </w:rPr>
              <w:t>9</w:t>
            </w:r>
          </w:p>
        </w:tc>
        <w:tc>
          <w:tcPr>
            <w:tcW w:w="1338"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 xml:space="preserve"> Печать</w:t>
            </w:r>
          </w:p>
        </w:tc>
        <w:tc>
          <w:tcPr>
            <w:tcW w:w="1559"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с 01 января по 31 декабря</w:t>
            </w:r>
          </w:p>
        </w:tc>
        <w:tc>
          <w:tcPr>
            <w:tcW w:w="1701"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Исключение адреса из схемы</w:t>
            </w:r>
          </w:p>
        </w:tc>
        <w:tc>
          <w:tcPr>
            <w:tcW w:w="1843" w:type="dxa"/>
          </w:tcPr>
          <w:p w:rsidR="00725958" w:rsidRPr="00725958" w:rsidRDefault="00725958" w:rsidP="00725958">
            <w:pPr>
              <w:autoSpaceDE w:val="0"/>
              <w:autoSpaceDN w:val="0"/>
              <w:adjustRightInd w:val="0"/>
              <w:jc w:val="both"/>
              <w:rPr>
                <w:color w:val="000000"/>
                <w:sz w:val="22"/>
                <w:szCs w:val="22"/>
                <w:lang w:eastAsia="en-US"/>
              </w:rPr>
            </w:pPr>
            <w:r w:rsidRPr="00725958">
              <w:rPr>
                <w:color w:val="000000"/>
                <w:sz w:val="22"/>
                <w:szCs w:val="22"/>
                <w:lang w:eastAsia="en-US"/>
              </w:rPr>
              <w:t>Несоответствие требованиям к размещению, установленным ППМ от 03.02.2011 №26-ПП (пп.3 п. 8 прил.1)</w:t>
            </w:r>
          </w:p>
        </w:tc>
      </w:tr>
    </w:tbl>
    <w:p w:rsidR="00725958" w:rsidRPr="00725958" w:rsidRDefault="00725958" w:rsidP="00725958">
      <w:pPr>
        <w:rPr>
          <w:rFonts w:eastAsia="Calibri"/>
          <w:b/>
          <w:sz w:val="28"/>
          <w:szCs w:val="28"/>
        </w:rPr>
      </w:pPr>
    </w:p>
    <w:p w:rsidR="00725958" w:rsidRPr="00725958" w:rsidRDefault="00725958" w:rsidP="00725958">
      <w:pPr>
        <w:rPr>
          <w:rFonts w:eastAsia="Calibri"/>
          <w:b/>
          <w:sz w:val="28"/>
          <w:szCs w:val="28"/>
        </w:rPr>
      </w:pPr>
    </w:p>
    <w:p w:rsidR="00725958" w:rsidRPr="00725958" w:rsidRDefault="00725958" w:rsidP="00725958">
      <w:pPr>
        <w:jc w:val="both"/>
        <w:rPr>
          <w:b/>
          <w:sz w:val="28"/>
          <w:szCs w:val="28"/>
        </w:rPr>
      </w:pPr>
      <w:r w:rsidRPr="00725958">
        <w:rPr>
          <w:b/>
          <w:sz w:val="28"/>
          <w:szCs w:val="28"/>
        </w:rPr>
        <w:t>Глава муниципального округа Царицыно</w:t>
      </w:r>
      <w:r w:rsidRPr="00725958">
        <w:rPr>
          <w:b/>
          <w:sz w:val="28"/>
          <w:szCs w:val="28"/>
        </w:rPr>
        <w:tab/>
        <w:t xml:space="preserve">                      Е.А. Самышина</w:t>
      </w:r>
    </w:p>
    <w:p w:rsidR="00725958" w:rsidRPr="00725958" w:rsidRDefault="00725958" w:rsidP="00725958">
      <w:pPr>
        <w:rPr>
          <w:rFonts w:eastAsia="Calibri"/>
          <w:b/>
          <w:sz w:val="28"/>
          <w:szCs w:val="28"/>
        </w:rPr>
      </w:pPr>
    </w:p>
    <w:sectPr w:rsidR="00725958" w:rsidRPr="00725958"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BB" w:rsidRDefault="00733FBB" w:rsidP="00285CBF">
      <w:r>
        <w:separator/>
      </w:r>
    </w:p>
  </w:endnote>
  <w:endnote w:type="continuationSeparator" w:id="0">
    <w:p w:rsidR="00733FBB" w:rsidRDefault="00733FBB"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BB" w:rsidRDefault="00733FBB" w:rsidP="00285CBF">
      <w:r>
        <w:separator/>
      </w:r>
    </w:p>
  </w:footnote>
  <w:footnote w:type="continuationSeparator" w:id="0">
    <w:p w:rsidR="00733FBB" w:rsidRDefault="00733FBB"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25958"/>
    <w:rsid w:val="00733FBB"/>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61">
    <w:name w:val="Сетка таблицы16"/>
    <w:basedOn w:val="a1"/>
    <w:next w:val="af0"/>
    <w:uiPriority w:val="59"/>
    <w:rsid w:val="0072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D241-68E1-45DF-864C-7FE6D75B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2019-02-20T08:56:00Z</dcterms:modified>
</cp:coreProperties>
</file>